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Ind w:w="-9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16384" w:rsidRPr="007A7678" w:rsidTr="00124F9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16384" w:rsidRPr="007A7678" w:rsidRDefault="00716384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  <w:lang w:val="be-BY"/>
              </w:rPr>
            </w:pPr>
            <w:r w:rsidRPr="007A7678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716384" w:rsidRPr="007A7678" w:rsidTr="00124F9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16384" w:rsidRPr="007A7678" w:rsidRDefault="00716384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pacing w:val="-22"/>
                <w:sz w:val="30"/>
                <w:szCs w:val="30"/>
              </w:rPr>
            </w:pPr>
            <w:r w:rsidRPr="007A7678">
              <w:rPr>
                <w:rFonts w:ascii="Times New Roman" w:hAnsi="Times New Roman"/>
                <w:bCs/>
                <w:spacing w:val="-22"/>
                <w:sz w:val="30"/>
                <w:szCs w:val="30"/>
              </w:rPr>
              <w:t>Постановление Министерства образования</w:t>
            </w:r>
          </w:p>
        </w:tc>
      </w:tr>
      <w:tr w:rsidR="00716384" w:rsidRPr="007A7678" w:rsidTr="00124F9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16384" w:rsidRPr="007A7678" w:rsidRDefault="00716384" w:rsidP="00124F9C">
            <w:pPr>
              <w:tabs>
                <w:tab w:val="left" w:pos="709"/>
              </w:tabs>
              <w:spacing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7A7678">
              <w:rPr>
                <w:rFonts w:ascii="Times New Roman" w:hAnsi="Times New Roman"/>
                <w:bCs/>
                <w:sz w:val="30"/>
                <w:szCs w:val="30"/>
              </w:rPr>
              <w:t>Республики Беларусь</w:t>
            </w:r>
          </w:p>
        </w:tc>
      </w:tr>
      <w:tr w:rsidR="00716384" w:rsidRPr="007A7678" w:rsidTr="00124F9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16384" w:rsidRPr="00716384" w:rsidRDefault="00716384" w:rsidP="00124F9C">
            <w:pPr>
              <w:tabs>
                <w:tab w:val="left" w:pos="709"/>
              </w:tabs>
              <w:spacing w:after="120" w:line="280" w:lineRule="exact"/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 w:rsidRPr="00716384">
              <w:rPr>
                <w:rFonts w:ascii="Times New Roman" w:hAnsi="Times New Roman"/>
                <w:bCs/>
                <w:sz w:val="30"/>
                <w:szCs w:val="30"/>
              </w:rPr>
              <w:t>27.07.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2017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91</w:t>
            </w:r>
          </w:p>
        </w:tc>
      </w:tr>
    </w:tbl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spacing w:line="280" w:lineRule="exact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</w:rPr>
      </w:pPr>
    </w:p>
    <w:p w:rsidR="00716384" w:rsidRPr="007A7678" w:rsidRDefault="00716384" w:rsidP="00716384">
      <w:pPr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  <w:r w:rsidRPr="007A7678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</w:t>
      </w:r>
    </w:p>
    <w:p w:rsidR="00716384" w:rsidRPr="007A7678" w:rsidRDefault="00716384" w:rsidP="00716384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  <w:r w:rsidRPr="0027681E">
        <w:rPr>
          <w:rFonts w:ascii="Times New Roman" w:hAnsi="Times New Roman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Хім</w:t>
      </w:r>
      <w:r w:rsidRPr="0027681E">
        <w:rPr>
          <w:rFonts w:ascii="Times New Roman" w:hAnsi="Times New Roman"/>
          <w:sz w:val="30"/>
          <w:szCs w:val="30"/>
          <w:lang w:val="be-BY"/>
        </w:rPr>
        <w:t>ія»</w:t>
      </w:r>
    </w:p>
    <w:p w:rsidR="00716384" w:rsidRPr="007A7678" w:rsidRDefault="00716384" w:rsidP="0071638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7A7678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7A7678">
        <w:rPr>
          <w:rFonts w:ascii="Times New Roman" w:hAnsi="Times New Roman"/>
          <w:sz w:val="30"/>
          <w:szCs w:val="30"/>
        </w:rPr>
        <w:t>V</w:t>
      </w:r>
      <w:r w:rsidRPr="007A7678">
        <w:rPr>
          <w:rFonts w:ascii="Times New Roman" w:hAnsi="Times New Roman"/>
          <w:sz w:val="30"/>
          <w:szCs w:val="30"/>
          <w:lang w:val="be-BY"/>
        </w:rPr>
        <w:t>ІІ кла</w:t>
      </w:r>
      <w:r w:rsidRPr="007A7678">
        <w:rPr>
          <w:rFonts w:ascii="Times New Roman" w:hAnsi="Times New Roman"/>
          <w:sz w:val="30"/>
          <w:szCs w:val="30"/>
        </w:rPr>
        <w:t>c</w:t>
      </w:r>
      <w:r w:rsidRPr="007A7678"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</w:t>
      </w:r>
    </w:p>
    <w:p w:rsidR="00716384" w:rsidRPr="007A7678" w:rsidRDefault="00716384" w:rsidP="00716384">
      <w:pPr>
        <w:jc w:val="center"/>
        <w:rPr>
          <w:rFonts w:ascii="Times New Roman" w:hAnsi="Times New Roman"/>
          <w:sz w:val="30"/>
          <w:szCs w:val="30"/>
          <w:lang w:val="be-BY"/>
        </w:rPr>
      </w:pPr>
      <w:r w:rsidRPr="007A7678">
        <w:rPr>
          <w:rFonts w:ascii="Times New Roman" w:hAnsi="Times New Roman"/>
          <w:sz w:val="30"/>
          <w:szCs w:val="30"/>
          <w:lang w:val="be-BY"/>
        </w:rPr>
        <w:t>з беларускай мовай навучання і выхавання</w:t>
      </w:r>
    </w:p>
    <w:p w:rsidR="00716384" w:rsidRPr="007A7678" w:rsidRDefault="00716384" w:rsidP="00716384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</w:p>
    <w:p w:rsidR="00716384" w:rsidRPr="007A7678" w:rsidRDefault="00716384" w:rsidP="00716384">
      <w:pPr>
        <w:shd w:val="clear" w:color="auto" w:fill="FFFFFF"/>
        <w:jc w:val="center"/>
        <w:outlineLvl w:val="0"/>
        <w:rPr>
          <w:rFonts w:ascii="Times New Roman" w:hAnsi="Times New Roman"/>
          <w:sz w:val="30"/>
          <w:szCs w:val="30"/>
          <w:lang w:val="be-BY"/>
        </w:rPr>
      </w:pPr>
    </w:p>
    <w:p w:rsidR="00716384" w:rsidRPr="007A7678" w:rsidRDefault="00716384" w:rsidP="00716384">
      <w:pPr>
        <w:shd w:val="clear" w:color="auto" w:fill="FFFFFF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716384" w:rsidRPr="007A7678" w:rsidRDefault="00716384" w:rsidP="00716384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7A7678" w:rsidRDefault="00716384" w:rsidP="00716384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lang w:val="be-BY"/>
        </w:rPr>
        <w:br w:type="page"/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  <w:lastRenderedPageBreak/>
        <w:t>Х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</w:rPr>
        <w:t>I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  <w:t>м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</w:rPr>
        <w:t>I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  <w:t>я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be-BY"/>
        </w:rPr>
        <w:t>Тлумачальная запіска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Змест вучэбнага прадмета «Хімія» арыентаваны на засваенне вучнямі кампетэнцый, неабходных для рацыянальнай дзейнасці ў свеце рэчываў і хімічных ператварэнняў на аснове ведаў пра ўласцівасці найважнейшых рэчываў, якія акружаюць чалавека ў паўсядзённым жыцці, прыродзе, прамысловасці, і разумення сутнасці хімічных ператварэнняў. Засваенне зместу вучэбнага прадмета «Хімія» прадугледжвае фарміраванне ў вучняў разумення ролі хіміі ў вырашэнні найбольш актуальных праблем, якія стаяць перад чалавецтвам у XXI стагоддзі.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Дадзеная праграма прадугледжвае адносную завершанасць зместу хімічнай адукацыі на II ступені агульнай сярэдняй адукацыі. Сутнасць адноснай завершанасці зместу хімічнай адукацыі на  II ступені агульнай сярэдняй адукацыі заключаецца ў тым, што па заканчэнні IX класа ўстановы агульнай сярэдняй адукацыі выпускнік авалодае сукупнасцю кампетэнцый, якія ён будзе выкарыстоўваць у жыцці, незалежна ад абранай прафесіі, а таксама якія даюць магчымасць працягнуць вывучэнне хіміі на павышаным узроўні з мэтай прафесійнага самавызначэння ў галінах, звязаных з хіміяй.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Кампетэнтнасны складнік зместу хімічнай адукацыі забяспечваецца яго скіраванасцю на засваенне вучнямі спосабаў дзейнасці на аснове ведаў пра ўласцівасці найважнейшых рэчываў, якія акружаюць чалавека ў паўсядзённым жыцці, прыродзе, прамысловасці, і разумення сутнасці хімічных ператварэнняў. Асаблівасцю вывучэння на ўзроўні агульнай сярэдняй адукацыі з’яўляецца і тое, што на матэрыяле гэтага вучэбнага прадмета ў вучняў павінна быць выхавана перакананасць у неабходнасці весці здаровы лад жыцця, набыты вопыт хімічна граматнага выкарыстання рэчываў і матэрыялаў, якія прымяняюцца ў побыце.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Мэта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 xml:space="preserve"> вывучэння хіміі на II ступені агульнай сярэдняй адукацыі — фарміраванне першапачатковых сістэмных і хімічных ведаў, якія ствараюць аснову для бесперапыннай адукацыі і самаадукацыі на наступных этапах навучання; фарміраванне прадметных кампетэнцый — ведаў, уменняў, спосабаў і вопыту дзейнасці з улікам спецыфікі хіміі як фундаментальнай прыродазнаўчай навукі; фарміраванне сацыяльна-значных каштоўнасных арыентацый, якія ўключаюць агульнакультурнае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 xml:space="preserve">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 асобаснае развіццё вучняў, усведамленне каштоўнасці атрымліваемай хімічнай адукацыі, пачуцця адказнасці і патрыятызму, сацыяльную мабільнасць і здольнасць адаптавацца ў розных жыццёвых сітуацыях.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lastRenderedPageBreak/>
        <w:t xml:space="preserve">Задачы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вывучэння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іі на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II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ступені агульнай сярэдняй адукацыі: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засваенне вучнямі мовы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іі, першапачатковых ведаў пра састаў, будову, уласцівасці рэчываў і заканамернасці іх ператварэнняў; найважнейшых хімічных законаў і заканамернасцей для разумення і тлумачэння ўласцівасцей рэчываў і хімічных з’яў;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валоданне ўменнямі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наз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іраць хімічныя рэакцыі пры правядзенні хімічнага эксперыменту і аналізаваць вынікі назіранняў; ажыццяўляць разлікі на аснове хімічных формул рэчываў і хімічных ураўненняў;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іраванне пазнавальных інтарэсаў, інтэлектуальных і творчых здольнасцей, экалагічнай культуры, матывацыі вывучэння хіміі як адной з фундаментальных прыродазнаўчых навук;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валоданне ўменнямі прымяняць атрыманыя веды ў мэтах адукацыі і самаадукацыі, набыцці вопыту бяспечнага выкарыстання рэчываў і матэрыялаў у паўсядзённай дзейнасці,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іраванне культуры здаровага ладу жыцця і падрыхтоўкі вучняў да паўнавартаснага жыцця ў грамадстве.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Асноватворнымі пры адборы і канструяванні зместу вучэбнага прадмета «Хімія» з’яўляюцца агульнадыдактычныя прынцыпы навуковасці, даступнасці, сістэмнасці і сістэматычнасці, гістарызму, сувязі навучання з жыццём.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Рэалізацыя дадзеных прынцыпаў пры пабудове вучэбнага прадмета «Х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ім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ія» на ўзроўні агульнай сярэдняй адукацыі адбываецца з дапамогай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ул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іку крытэрыяў адбору зместу: цэласнасці; навуковай і практычнай значнасці; адпаведнасці ўзроставым асаблівасцям вучняў; адпаведнасці знешнім умовам соцыуму; адпаведнасці міжнародным стандартам.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Метадалагічнай асновай адбору і канструявання зместу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ічнай адукацыі на ўзроўні агульнай сярэдняй адукацыі выступаюць кампетэнтнасны, сістэмна-структурны, інтэгратыўны, культуралагічны і асобасна-дзейнасны падыходы.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Кампетэнтнасны падыход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забяспечвае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іраванне ў вучняў у працэсе навучання хіміі ключавых (вызначаюцца агульным зместам адукацыі), агульнапрадметных (адносяцца да вучэбных прадметаў прыродазнаўчага цыклу) і прадметных (вызначаюцца спецыфікай вучэбнага прадмета «Хімія») кампетэнцый, а таксама агульнакультурнай кампетэнтнасці. Пры гэтым асаблівая ўвага надаецца фарміраванню ў вучняў хімічных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веда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ў, развіццю ўменняў і першапачатковага вопыту творчай дзейнасці, звязанай з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яй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 аснове рэалізацыі кампетэнтнаснага падыходу ў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адукацыі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ляжаць прынцыпы комплекснасці, пераемнасці, інтэгратыўнасці, д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ыягнастычнасці і гумані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зацыі.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Сістэмны падыход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забяспечвае на аснове паслядоўнага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сістэматычнага вывучэння вучэбнага прадмета «Хімія»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іраванне ў свядомасці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вучня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ў сістэм асноўных хімічных паняццяў, законаў, тэорый, фактаў і метадаў хімічнай навукі. Адначасова ён забяспечвае ц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элас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насць хімічна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адукацыі на розных ступенях агульнай сярэдняй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адукацыі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праз усе арганізацыйныя формы навучання (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рок, факультатыўн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ы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я зан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яткі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,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пазакласная работа), рэалізуючы адзіныя мэты, змест, формы, метады і сродкі навучання хіміі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ва ўстановах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агульнай сярэдняй адукацыі.</w:t>
      </w:r>
      <w:proofErr w:type="gramEnd"/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Інтэгратыўн</w:t>
      </w: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be-BY"/>
        </w:rPr>
        <w:t>ы</w:t>
      </w: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 xml:space="preserve"> падыход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адлюстроўвае вядучую тэндэнцыю развіцця сучаснай навукі — яе інтэгратыўн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ы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характар. У хімічнай адукацыі на ўзроўні агульнай сярэдняй адукацыі ён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прадугледжвае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ўстанаўленне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ў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нутр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ы-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міжпрадметных сувязей як механізмаў і сродкаў інтэграцыі. Пры гэтым інтэграваны падыход рэалізуецца праз вертыкальную і гарызантальную інтэграцыі. Вертыкальная інтэграцыя забяспечвае пераемнасць паміж 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соб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нымі часткамі і блокамі зместу вучэбнага прадмета «Хімія» праз усталяванне ўнутрыпрадметных сувязей. Гарызантальная інтэграцыя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ажыццяўля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ецца праз рэалізацыю міжпрадметных сувяз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хіміі з іншымі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вучэб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нымі прадметамі цыкла і матэматыкі (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унутрыцыкла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вая інтэграцыя) і гуманітарнага цыкла (м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іжцык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лавая інтэграцыя). У цэлым інтэгратыўн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ы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падыход спрыяе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іраванню ў вучняў цэласных уяўленняў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пра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хімічн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ую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карцін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прыроды як частк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навуковай карціны свету.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Культуралагічны падыход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дазваляе разглядаць хімічную адукацыю як феномен культуры, а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іраванне культуры вучняў — як яго асноўную мэту. Пры гэтым навучанне на ўзроўні агульнай сярэдняй адукацыі павінна забяспечыць вучня неабходным аб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’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ёмам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ведаў і ўменняў, якія павінны ўвайсці ў багаж кожнага адукаванага чал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авека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proofErr w:type="gramStart"/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Асобасна-дзейнасны падыход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ставіць у цэнтр адукацыйнага працэсу асобу вучня, прадугледжвае стварэнне ўмоў для развіцця яго здольнасц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магчымасц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для самарэалізацыі, раскрыццё індывідуальнасці асобы ў працэсе выконваемай дзейнасці.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Асобасна-дзейнасны падыход у працэсе навучання хіміі прадугледжвае выкананне такіх відаў дзейнасці, якія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будуць забяспечваць развіваючае ўздзеянне на ўсе сферы асобы вучняў, спрыяючы матывацыі да вывучэння х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іміі і павышэнню якасці хімічнай адукацыі на ўзроўні агульнай сярэдняй адукацыі ў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цэлым.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 працэсе навучання хіміі, вучні выконваюць наступныя віды вучэбна-пазнавальнай дзейнасці: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аперыраванне хімічнай сімволікай, тэрміналогіяй і наменклатурай (хімічнай мовай);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 xml:space="preserve">мадэляванне хімічных аб’ектаў і працэсаў, а таксама спосабаў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>кіравання імі;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станаўленне прычынна-следчых сувязей, выяўленне заканамернасцей, пабудову графікаў на аснове прымянення хімічных законаў і тэорый;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наз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іранне і выкананне вучэбнага эксперыменту, які ілюструе хімічныя працэсы і заканамернасці іх узнікнення і працякання;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атрыманне, распазнаванне і доказ саставу рэчыва на аснове рэальнага, віртуальнага і мысленнага эксперыменту;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правядзенне колькасных разлікаў па хімічных формулах і ўраўненнях;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прагназаванне ўласцівасцей і спосабаў атрымання рэчываў на аснове іх складу і будовы, а таксама галін практычнага прымянення рэчываў на аснове іх найважнейшых уласцівасцей;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самастойны пошук, ацэнка і выкарыстанне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ічнай інфармацыі з розных крыніц (вучэбная і навукова-папулярная літаратура, інтэрнэт-рэсурсы, СМІ і інш.);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засваенне вопыту практычнай дзейнасці з рэчывамі, якія найбольш часта ўжываюцца ў паўсядзённым жыцці чалавека, выкарыстоўваюцца ў прамысловасці і сельскай гаспадарцы.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Хімія ў VII класе ўяўляе сабой прапедэўтычны курс, разлічаны на навучанне вучняў мове хіміі, фарміраванне першапачатковых хімічных ведаў, знаёмства з некаторымі хімічнымі паняццямі.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Вучэбная праграма складзена ў адпаведнасці з вучэбным планам, які прадугледжвае на вывучэнне хіміі 1 гадзіну на тыдзень (усяго 35 гадзін).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 вучэбнай праграме прадстаўлены вучэбныя тэмы і прыкладны час на іх вывучэнне.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адпаведнасці з прынцыпамі кампетэнтнаснага падыходу ацэнка сфарміраваных кампетэнцый вучняў праводзіцца на аснове іх ведаў, уменняў і выпрацаваных спосабаў дзейнасці. У праграме маецца раздзел «Асноўныя патрабаванні да вынікаў вучэбнай дзейнасці вучняў». Паколькі шматлікія элементы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зместу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з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ул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ікам спецыфікі прадмета патрабуюць шматразовага паўтарэння, пашырэння і развіцця, патрабаванні да вынікаў вучэбнай дзейнасці фар-   мулююцца, як у канцы вывучэння асобных тэм, так і па выніках вывучэння вучэбнага прадмета на працягу навучальнага года. На аснове гэтых патрабаванняў ажыццяўляецца кантроль і ацэнка вынікаў вучэбнай дзейнасці вучняў, якасці засваення ведаў і ўзроўню сфарміраванасці кампетэнцый на аснове ацэньвання практычных і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ісьмовых кантрольных работ.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Для кожнай тэмы ў праграме вызначаны пытанні, якія павінны быць вывучаны,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указаны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тыпы разліковых задач, пералікі дэманстрацый, лабараторных доследаў, тэмы практычных работ. Настаўніку даецца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права замены дэманстрацы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йных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лабараторных доследаў на іншыя (раўнацэнныя), больш даступныя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 xml:space="preserve"> ва ўмовах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дадзенай установы адукацыі. Па сваім меркаванні настаўнік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можа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павялічыць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колькасць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дэманстрацыйных дос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л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едаў.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Указаная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ў праграме колькасць гадзін, адведзеных на вывучэнне вучэбных тэм, з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’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яўляецца прыкладнай. Яна можа быць пераразмеркавана паміж тэмамі ў разумных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межах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(1-2 гадзіны). Рэзервовы час настаўнік выкарыстоўвае па сваім меркаванні. Акрамя таго, магчыма змяненне паслядоўнасці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 xml:space="preserve"> вывучэн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ня пытанняў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рамках </w:t>
      </w:r>
      <w:r w:rsidRPr="006F4970">
        <w:rPr>
          <w:rFonts w:ascii="Times New Roman" w:hAnsi="Times New Roman"/>
          <w:color w:val="000000"/>
          <w:spacing w:val="-2"/>
          <w:sz w:val="30"/>
          <w:szCs w:val="30"/>
          <w:lang w:val="ru-RU"/>
        </w:rPr>
        <w:t xml:space="preserve">асобнай вучэбнай тэмы пры адпаведным </w:t>
      </w:r>
      <w:r w:rsidRPr="006F4970">
        <w:rPr>
          <w:rFonts w:ascii="Times New Roman" w:hAnsi="Times New Roman"/>
          <w:color w:val="000000"/>
          <w:spacing w:val="-2"/>
          <w:sz w:val="30"/>
          <w:szCs w:val="30"/>
          <w:lang w:val="be-BY"/>
        </w:rPr>
        <w:t xml:space="preserve">абгрунтаванні </w:t>
      </w:r>
      <w:r w:rsidRPr="006F4970">
        <w:rPr>
          <w:rFonts w:ascii="Times New Roman" w:hAnsi="Times New Roman"/>
          <w:color w:val="000000"/>
          <w:spacing w:val="-2"/>
          <w:sz w:val="30"/>
          <w:szCs w:val="30"/>
          <w:lang w:val="ru-RU"/>
        </w:rPr>
        <w:t>такіх зменаў.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be-BY"/>
        </w:rPr>
        <w:t>Змест вучэбнага прадмета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(1 гадзіна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на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тыдзень — 35 гадзін, з іх 1 гадзіна — рэзервовы час)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  <w:t>У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водзіны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(4 гадзіны)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Прадмет хіміі. Рэчывы і іх уласцівасці. Ператварэнн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рэчываў. Рол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іі ў грамадстве і жыцці чалавека. Хімія ў Рэспубліцы Беларусь.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Чыстыя рэчывы і сумесі. Метады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раздзялення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сумес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Разліковыя задачы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1. Вылічэнне масавай долі кампанента ў сумесі рэчываў.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Дэманстрацыі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1. Ператварэнні рэчываў.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2. Прыгатаванне аднародных і неаднародных сумесей рэчываў і метады іх раздзялення.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Лабараторныя доследы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1. Вывучэнне фізічных уласцівасцей рэчываў.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Практычныя работы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1. Правілы бяспечных паводзін у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ічным кабінеце. Прыёмы работы з найпрасцейшым лабараторным абсталяваннем </w:t>
      </w: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(1 гадзі</w:t>
      </w:r>
      <w:proofErr w:type="gramStart"/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</w:t>
      </w:r>
      <w:proofErr w:type="gramEnd"/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)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2. Раздзяленне неаднароднай сумесі </w:t>
      </w: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(1 гадзіна)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>Па выніках вывучэння тэмы 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рэчыва, сумесь рэчываў; аднародная і неаднародная сумесь,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ічная з’ява;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 ж ы ц ц я ў л я ц ь  н а с т 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 ы я  в і д ы  д з е й н а с ц і: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спосабы раздзялення сумесей рэчываў;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тлумачыць: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адрозненне фізічных з’яў ад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lastRenderedPageBreak/>
        <w:t>абыходзіцца: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 неарганічнымі рэчывамі,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ічным посудам, лабараторным аб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сталяванн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ем, награвальнымі прыборамі;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праводзіць: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матэматычныя вылічэнні пры рашэнні разліковых задач;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 эксперымент;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карыстацца: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вучэбным дапаможнікам; інструкцыяй па правілах бяспечных паводзін у хімічным кабінеце; інструкцыяй пры выкананні хімічнага эксперыменту.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Т э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  1.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 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  <w:t>П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>ершапачатковыя хі</w:t>
      </w:r>
      <w:proofErr w:type="gramStart"/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ічныя паняцці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(11 гадзін)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Атамы як найдрабнейшыя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 непадзельныя часціцы. Хімічныя элементы. Сімвалы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элементаў. Адносная атамная маса.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Простыя і складаныя рэчывы. Малекулы.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Хімічныя формулы рэчываў. Першапачатковыя ўяўленні пра валентнасць. Складанне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ічнай формулы па валентнасцях хімічных элементаў. Вызначэнне валентнасці х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імічнага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элемента па формуле.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Адносная малекулярная маса. Масавая доля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ічнага элемента ў рэчыве.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З’явы фізічныя і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ічныя. Прыметы і ўмовы працякання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Закон захавання масы рэчыва. Ураўненне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ічнай рэакцыі. Рол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хімічны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х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рэакцый у прыродзе і дзейнасці чалавека.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Разліковыя задачы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2. Вылічэнне адноснай малекулярнай масы рэчываў па хімічных формулах.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3. Вылічэнне масавай долі элемента па формуле рэчыва.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Дэманстрацыі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3.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Табл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іца перыядычнай сістэмы хімічных элементаў.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4. Доследы, якія ілюструюць характэрныя прыметы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5. Доследы, якія ілюструюць закон захавання масы рэчываў у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рэакцыях.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Практычныя работы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3. Прыметы працякання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ічных рэакцый </w:t>
      </w: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(1 гадзіна)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>Па выніках вывучэння тэмы 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атам, малекула,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ічны элемент; простае і складанае рэчыва;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хімічная формула; валентнасць; хімічная рэакцыя; адносная атамная маса; адносная малекулярная маса; масавая доля;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е ц ь: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чытаць: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формулы вывучаных рэчываў; ураўненні хімічных рэакцый;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элементы па іх сімвалах і простыя рэчывы (вадарод, натрый, калій, магній, кальцый, барый, алюміній, вуглярод, крэмній, азот, фосфар, кісларод, сера, хлор, бром, марганец, жалеза, медзь, серабро, золата, цынк);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фармулёўку закона захавання масы рэчываў;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прыметы і ўмовы працякання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вызначаць: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якасны і колькасны састаў злучэння па хімічнай формуле; простыя і складаныя рэчывы; валентнасць хімічных элементаў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 б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інарных злучэннях па формуле;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адрозніваць: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сімвалы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элементаў і хімічныя формулы; простыя і складаныя рэчывы.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Т э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  2. 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 xml:space="preserve">Кісларод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(7 гадзін)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Кісларод як простае рэчыва. Фізічныя ўласцівасці кіслароду. Кісларод у прыродзе. Паветра як сумесь газаў.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Атрыманне кіслароду ў лабараторыі раскладаннем перманганата калію. Рэакцыі раскладання. Паняцце пра каталізатары. Метады збірання газа. Гісторыя адкрыцця кіслароду.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Хімічныя ўласцівасці кіслароду: узаемадзеянне з простымі і складанымі рэчывамі: вадародам,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вуглярода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м,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се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рай, меддзю, кальцыем, метанам.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Рэакцыі злучэння.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Паняцце пра рэакцыю гарэння. Працэсы гарэння як крыніцы энергіі. Ахова атмасферы ад забруд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жван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няў.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Аксі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ды — б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інарныя злучэнн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элементаў з кіслародам.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Дэманстрацыі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6. Атрыманне і збіранне кіслароду.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7. Раскладанне пераксіду вадароду ў прысутнасці каталізатара.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8. Гарэнне рэчываў у кіслародзе і на паветры.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Лабараторныя доследы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2. Зборка найпрасцейшых прыбораў для атрымання і збірання газаў.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Практычныя работы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4. Атрыманне кіслароду і вывучэнне яго ўласцівасцей </w:t>
      </w: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(1 гадзіна)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>Па выніках вывучэння тэмы 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каталізатар; аксіды; рэакцыі злучэння, раскладання;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е ц ь: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метан; рэакцыі злучэння, раскладання;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спосабы атрымання кіслароду ў лабараторыі;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 ж ы ц ц я ў л я ц ь  н а с т 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 ы я  в і д ы  д з е й н а с ц і: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запісваць: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формулы аксідаў па назве рэчыва;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складаць: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формулы аксідаў па валентнасці; ураўненні вывучаных хімічных рэа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к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характарызаваць: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фізічныя і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ўласцівасці вывучаных злучэнняў;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тлумачыць: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умовы гарэння і спосабы спынення гарэння.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3. Т э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  3. 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  <w:t>В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адарод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(7 гадзін)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Вадарод як простае рэчыва. Фізічныя ўласцівасці вадароду. Гісторыя адкрыцця вадароду.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Хімічныя ўласцівасці вадароду: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заемадзеянне з простымі і складанымі рэчывамі: кіслародам, хлорам, аксідам медзі(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II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).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Прымяненне вадароду.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Паняцце пра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іслоты. Формулы і назвы кіслот (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серная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, саляная, азотная, фосфарная, вугальная). Меры засцярогі пры рабоце з кіслотамі. Паняцце пра індыкатары.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Вылучэнне вадароду ў рэакцыях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іслот з металамі. Рэакцыі замяшчэння.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Рад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актыўнасці металаў. Солі — прадукты замяшчэння атамаў вадароду ў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іслотах на метал. Формулы і назвы солей (на прыкладзе сярэдніх солей).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Атрыманне вадароду ў лабараторыі.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Дэманстрацыі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9. Атрыманне і збіранне вадароду.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10. Узоры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і солей.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Лабараторныя доследы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3. Дзянне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на індыкатары.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4. Узаемадзеянне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з металамі.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Практычныя работы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5. Атрыманне вадароду і вывучэнне яго ўласцівасцей </w:t>
      </w: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(1 гадзіна)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>Па выніках вывучэння тэмы 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іслоты; індыкатар; солі; рэакцыі замяшчэння;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е ц ь: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іслоты (серная, саляная, азотная, фосфарная, вугальная) і іх сярэднія солі;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рэакцыі замяшчэння;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спосабы атрымання вадароду ў лабараторыі;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 ж ы ц ц я ў л я ц ь  н а с т 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 ы я  в і д ы  д з е й н а с ц і: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запісваць: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формулы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(сернай, салянай, азотнай, фосфарнай, вугальнай) і іх солей;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складаць: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формулы солей; ураўненні вывучаных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характарызаваць: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фізічныя і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ўласцівасці вывучаных злучэнняў.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Т э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  4. 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  <w:t>В</w:t>
      </w: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>ада</w:t>
      </w:r>
      <w:r w:rsidRPr="006F4970">
        <w:rPr>
          <w:rFonts w:ascii="Times New Roman" w:hAnsi="Times New Roman"/>
          <w:b/>
          <w:bCs/>
          <w:caps/>
          <w:color w:val="000000"/>
          <w:sz w:val="30"/>
          <w:szCs w:val="30"/>
          <w:lang w:val="ru-RU"/>
        </w:rPr>
        <w:t xml:space="preserve">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(5 гадзін)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Састаў малекулы вады. Фізічныя ўласцівасці вады. Значэнне вады ў прыродзе і жыцці чалавека. Ахова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вадаёмаў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ад забруджванняў.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заемадзеянне вады з аксідам кальцы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ю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, з актыўнымі металамі: натрыем і каліем. Паняцце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пра асновы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. Шчолачы (гідраксіды натрыю, калі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ю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, кальцы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ю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). Меры засцярог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пры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рабоце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са шчолачамі.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Узд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зеянне шчолачаў на індыкатары.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Узаемадзеянне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і шчолачаў (рэакцыя нейтралізацыі) як прыклад р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э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акцыі абмену.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be-BY"/>
        </w:rPr>
        <w:t>Д</w:t>
      </w: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эманстрацыі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11. Узаемадзеянне вады з актыўнымі металамі.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12. Узаемадзеянне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 са шчолачамі (рэакцыя нейтралізацыі).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Лабараторныя доследы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5. Узаемадзеянне шчолачаў на індыкатары.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b/>
          <w:bCs/>
          <w:i/>
          <w:iCs/>
          <w:color w:val="000000"/>
          <w:sz w:val="30"/>
          <w:szCs w:val="30"/>
          <w:lang w:val="ru-RU"/>
        </w:rPr>
        <w:t>Практычныя работы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6. Рашэнне эксперыментальных задач.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>Па выніках вывучэння тэмы 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асновы (шчолачы), рэакцыі абмену (нейтралізацыі);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е ц ь: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г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ідраксі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ды натрыю, калію, кальцыю;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рэакцыі абмену;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 ж ы ц ц я ў л я ц ь  н а с т 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 ы я  в і д ы  д з е й н а с ц і: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запісваць: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формулы шчолачаў (гідраксіды натрыю, калію, кальцыю) па назве рэчыва;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складаць: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формулы асноў па валентнасці; ураўненні вывучаных хімічных рэа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к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характарызаваць: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фізічныя і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ўласцівасці вывучаных злучэнняў.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 xml:space="preserve">Асноўныя патрабаванні 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caps/>
          <w:color w:val="000000"/>
          <w:sz w:val="30"/>
          <w:szCs w:val="30"/>
          <w:lang w:val="be-BY"/>
        </w:rPr>
      </w:pPr>
      <w:r w:rsidRPr="006F4970">
        <w:rPr>
          <w:rFonts w:ascii="Times New Roman" w:hAnsi="Times New Roman"/>
          <w:caps/>
          <w:color w:val="000000"/>
          <w:sz w:val="30"/>
          <w:szCs w:val="30"/>
          <w:lang w:val="ru-RU"/>
        </w:rPr>
        <w:t xml:space="preserve">да вынікаў вучэбнай дзейнасці вучняў 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Вучні павінны: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д а в а ц ь  а з н а ч э н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 п а н я ц ц я м: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рэчыва, сумесь рэчываў; аднародная і неаднародная сумесь; атам, малекула,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 элемент; простае і складанае рэчыва; хімічная формула; валентнасць; хімічная рэакцыя; каталізатар; і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ндыката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р; адносная атамная маса; адносная малекулярная маса; масавая доля;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аксіды,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іслоты, асновы (шчолачы), солі; рэакцыі злучэння, раскладання, замяшчэння, абмену (нейтралізацыі);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е ц ь: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чытаць: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формулы вывучаных рэчываў; ураўненні хімічных рэакцый;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называць: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спосабы раздзялення сумесей рэчываў;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элементы па іх сімвалах (вадарод, натрый, калій, магній, кальцый, барый, алюміній, вуглярод, крэмній, азот, фосфар, кісларод, сера, хлор, бром, марганец, жалеза, медзь, серабро, золата, цынк);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рэчывы па хімічных формулах (простыя рэчывы; аксіды;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слоты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: серная, саляная, азотная, фосфарная, вугальная і іх сярэднія солі; гідраксіды натрыю, калію, кальцыю; метан);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фармулёўку закону захавання масы рэчыва;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прыметы і ўмовы працякання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тыпы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 (злучэння, раскладання, замяшчэння, абмену);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спосабы атрымання кіслароду і вадароду ў лабараторыі;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вызначаць: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якасны і колькасны састаў злучэння па хімічнай формуле; простыя і складаныя (аксіды,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слоты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, солі, асновы) рэчывы; валентнасць хімічных элементаў у б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інарных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злучэннях па формуле;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адрозніваць: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сімвалы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элементаў і хімічныя формулы; простыя і складаныя рэчывы;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а ж ы ц ц я ў л я ц ь  н а с т у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п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н ы я  в і д ы  д з е й н а с ц і: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запісваць: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формулы 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слот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(сернай, салянай, азотнай, фосфарнай, вугальнай; шчолачаў (гідраксіды натрыю, калі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 xml:space="preserve">ю і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кальцыю), аксідаў па назве рэчыва;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складаць: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формулы аксідаў,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асноў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і сол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па валентнасці;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раўненні вывучаных хімічных рэа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к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цый;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характарызаваць: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фізічныя і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ічныя ўласцівасці вывучаных злучэнняў;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тлумачыць: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адрозненне фізічных з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’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яў ад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ічных; 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мовы гарэння і спосабы спынення гарэння;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аналізаваць: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вынікі лабараторных доследаў, практычных работ; вучэбную інфа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рмацы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ю;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прымяняць: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вывучаныя паняцці і законы пры характарыстыцы саставу і ўласцівасцей рэчываў,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ічных рэакцый, спосабаў атрымання рэчываў, рашэнні разліковых задач; правілы бяспечных паводзін пры аб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ыходжанні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 xml:space="preserve"> з рэчывамі, хімічным посудам, лабараторным абсталяваннем і награвальнымі прыборамі;</w:t>
      </w:r>
    </w:p>
    <w:p w:rsidR="00716384" w:rsidRPr="00CE3A2F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CE3A2F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абыходзіцца: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з неарганічнымі рэчывамі,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ічным посудам, лабараторным аб</w:t>
      </w:r>
      <w:r w:rsidRPr="006F4970">
        <w:rPr>
          <w:rFonts w:ascii="Times New Roman" w:hAnsi="Times New Roman"/>
          <w:color w:val="000000"/>
          <w:sz w:val="30"/>
          <w:szCs w:val="30"/>
          <w:lang w:val="be-BY"/>
        </w:rPr>
        <w:t>сталяванн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ем, награвальнымі прыборамі;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праводзіць: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матэматычныя вылічэнні пры рашэнні разліковых задач; хі</w:t>
      </w:r>
      <w:proofErr w:type="gramStart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м</w:t>
      </w:r>
      <w:proofErr w:type="gramEnd"/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ічны эксперымент;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i/>
          <w:iCs/>
          <w:color w:val="000000"/>
          <w:sz w:val="30"/>
          <w:szCs w:val="30"/>
          <w:lang w:val="ru-RU"/>
        </w:rPr>
        <w:t>карыстацца:</w:t>
      </w:r>
    </w:p>
    <w:p w:rsidR="00716384" w:rsidRPr="006F4970" w:rsidRDefault="00716384" w:rsidP="00716384">
      <w:pPr>
        <w:tabs>
          <w:tab w:val="left" w:pos="567"/>
        </w:tabs>
        <w:autoSpaceDE w:val="0"/>
        <w:autoSpaceDN w:val="0"/>
        <w:adjustRightInd w:val="0"/>
        <w:ind w:left="567" w:hanging="227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вучэбным дапаможнікам; інструкцыяй па правілах бяспечных паводзін у хімічным кабінеце; інструкцыяй пры выкананні хімічнага эксперыменту.</w:t>
      </w:r>
    </w:p>
    <w:p w:rsidR="00716384" w:rsidRPr="006F4970" w:rsidRDefault="00716384" w:rsidP="00716384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9B792D" w:rsidRPr="00716384" w:rsidRDefault="00716384" w:rsidP="00716384">
      <w:pPr>
        <w:suppressAutoHyphens/>
        <w:autoSpaceDE w:val="0"/>
        <w:autoSpaceDN w:val="0"/>
        <w:adjustRightInd w:val="0"/>
        <w:jc w:val="center"/>
        <w:textAlignment w:val="center"/>
        <w:rPr>
          <w:lang w:val="ru-RU"/>
        </w:rPr>
      </w:pPr>
      <w:r w:rsidRPr="006F4970">
        <w:rPr>
          <w:rFonts w:ascii="Times New Roman" w:hAnsi="Times New Roman"/>
          <w:b/>
          <w:bCs/>
          <w:color w:val="000000"/>
          <w:sz w:val="30"/>
          <w:szCs w:val="30"/>
          <w:lang w:val="ru-RU"/>
        </w:rPr>
        <w:t xml:space="preserve">Колькасць пісьмовых кантрольных работ — 2 </w:t>
      </w:r>
      <w:r w:rsidRPr="006F4970">
        <w:rPr>
          <w:rFonts w:ascii="Times New Roman" w:hAnsi="Times New Roman"/>
          <w:color w:val="000000"/>
          <w:sz w:val="30"/>
          <w:szCs w:val="30"/>
          <w:lang w:val="ru-RU"/>
        </w:rPr>
        <w:t>(2 гадзіны)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  <w:bookmarkStart w:id="0" w:name="_GoBack"/>
      <w:bookmarkEnd w:id="0"/>
    </w:p>
    <w:sectPr w:rsidR="009B792D" w:rsidRPr="007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84"/>
    <w:rsid w:val="004C6AE0"/>
    <w:rsid w:val="00716384"/>
    <w:rsid w:val="008E4D79"/>
    <w:rsid w:val="00DB61DB"/>
    <w:rsid w:val="00E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uiPriority w:val="99"/>
    <w:rsid w:val="007163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uiPriority w:val="99"/>
    <w:rsid w:val="007163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Calibri" w:hAnsi="PragmaticaCondCTT" w:cs="Times New Roman"/>
      <w:b/>
      <w:bCs/>
      <w:caps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2017-07-31T09:29:00Z</dcterms:created>
  <dcterms:modified xsi:type="dcterms:W3CDTF">2017-07-31T09:31:00Z</dcterms:modified>
</cp:coreProperties>
</file>